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00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-422910</wp:posOffset>
            </wp:positionH>
            <wp:positionV relativeFrom="page">
              <wp:posOffset>333375</wp:posOffset>
            </wp:positionV>
            <wp:extent cx="1657350" cy="1657350"/>
            <wp:effectExtent l="0" t="0" r="0" b="0"/>
            <wp:wrapTight wrapText="bothSides">
              <wp:wrapPolygon>
                <wp:start x="0" y="0"/>
                <wp:lineTo x="0" y="21352"/>
                <wp:lineTo x="21352" y="21352"/>
                <wp:lineTo x="213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ОРГАНИЗАЦИЯ РАБОТЫ </w:t>
      </w:r>
    </w:p>
    <w:p w14:paraId="70CF3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ТЕРРИТОРИАЛЬНОЙ ПСИХОЛОГО-МЕДИКО-ПЕДАГОГИЧЕСКОЙ КОМИССИ</w:t>
      </w:r>
    </w:p>
    <w:p w14:paraId="1C9202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ПСИХОЛОГО-ПЕДАГОГИЧЕСКОЙ, МЕДИЦИНСКОЙ И СОЦИАЛЬНОЙ ПОМОЩИ ПРОЛЕТАРСКОГО РАЙОНА ГОРОДСКОГО ОКРУГА ДОНЕЦК</w:t>
      </w:r>
    </w:p>
    <w:p w14:paraId="6F091A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F3C2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психолого-медико-педагогическая комиссия (далее - ТПМПК) функционирует в составе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Центра психолого-педагогической, медицинской и социальной помощи Пролетарского района городского округа Донецк, структурного подразделения </w:t>
      </w:r>
      <w:r>
        <w:rPr>
          <w:rFonts w:ascii="Times New Roman" w:hAnsi="Times New Roman" w:cs="Times New Roman"/>
          <w:sz w:val="28"/>
          <w:szCs w:val="28"/>
        </w:rPr>
        <w:t>ГБОУ «Донецкий республиканский учебно-методический центр психологической службы системы образования» Донецкой Народной Республики.</w:t>
      </w:r>
    </w:p>
    <w:p w14:paraId="047B45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специалисты ТПМПК руководствуются международными документами в области защиты прав детей, детей-инвалидов, инвалидов, нормативно-правовыми актами в сфере образования, социальной защиты и социального обслуживания Российской Федерации, Донецкой Народной Республики.</w:t>
      </w:r>
    </w:p>
    <w:p w14:paraId="081CCA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деятельности ТПМПК – своевременное выявление детей, имеющих особенности физического и (или) психического развития и (или) отклонения в поведении, проведение их комплексного психолого-медико-педагогического обследования и подготовка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14:paraId="53A460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ТПМПК направлена на:</w:t>
      </w:r>
    </w:p>
    <w:p w14:paraId="640B2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обследования детей, в том числе обучающихся с ограниченными возможностями здоровья, детей-инвалидов до окончания ими обучения в образовательной организации (далее – Организация), в целях выявления у них особенностей физического и (или) психического развития и (или) отклонений в поведении;</w:t>
      </w:r>
    </w:p>
    <w:p w14:paraId="1A5F93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14:paraId="5FA456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14:paraId="3E9794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</w:t>
      </w:r>
    </w:p>
    <w:p w14:paraId="581FC2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девиантным (общественно опасным) поведением; </w:t>
      </w:r>
    </w:p>
    <w:p w14:paraId="558030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– ИПРА);</w:t>
      </w:r>
    </w:p>
    <w:p w14:paraId="31D066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детей;</w:t>
      </w:r>
    </w:p>
    <w:p w14:paraId="22ECAC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исполнения Организациями рекомендаций о создании специальных условий для получения образования обучающимися.</w:t>
      </w:r>
    </w:p>
    <w:p w14:paraId="6CA1C6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Инициировать прохождение обследования в ТПМПК</w:t>
      </w:r>
      <w:r>
        <w:rPr>
          <w:rFonts w:ascii="Times New Roman" w:hAnsi="Times New Roman" w:cs="Times New Roman"/>
          <w:sz w:val="28"/>
          <w:szCs w:val="28"/>
        </w:rPr>
        <w:t xml:space="preserve"> могут родители (законные представители) или Организация, которую посещает ребёнок, медицинская организация, организации, осуществляющие социальное обслуживание, федеральное учреждение медико-социальной экспертизы, другие организации.</w:t>
      </w:r>
    </w:p>
    <w:p w14:paraId="153F37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Консультирование, а также комплексное психолого-медико-педагогическое обследование ребенка проводится в центральной или территориальной ПМПК (Перечень территориальных ПМПК в Донецкой Народной Республике </w:t>
      </w:r>
      <w:r>
        <w:fldChar w:fldCharType="begin"/>
      </w:r>
      <w:r>
        <w:instrText xml:space="preserve"> HYPERLINK "https://cloud.mail.ru/public/Cdro/AG7zVUjyo"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https://cloud.mail.ru/public/Cdro/AG7zVUjyo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). В случаях, когда вопрос об определении </w:t>
      </w:r>
      <w:r>
        <w:rPr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5396865</wp:posOffset>
            </wp:positionH>
            <wp:positionV relativeFrom="page">
              <wp:posOffset>209550</wp:posOffset>
            </wp:positionV>
            <wp:extent cx="847725" cy="847725"/>
            <wp:effectExtent l="0" t="0" r="9525" b="9525"/>
            <wp:wrapTight wrapText="bothSides">
              <wp:wrapPolygon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специальных условий обучения ребенка не может быть решен специалистами территориальной ПМПК, ребенок направляется в ЦПМПК</w:t>
      </w:r>
    </w:p>
    <w:p w14:paraId="353C4B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Представленное родителем (законным представителем) заключение комиссии является основанием для Организаций и органов местного самоуправления, осуществляющих управление в сфере образования, для:</w:t>
      </w:r>
    </w:p>
    <w:p w14:paraId="652ED6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создания специальных условий для получения образования;</w:t>
      </w:r>
    </w:p>
    <w:p w14:paraId="03829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14:paraId="28FC8E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создания условий проведения индивидуальной профилактической работы с несовершеннолетними, находящимися в социально опасном положении.</w:t>
      </w:r>
      <w:r>
        <w:rPr>
          <w:rFonts w:ascii="Times New Roman" w:hAnsi="Times New Roman" w:cs="Times New Roman"/>
        </w:rPr>
        <w:cr/>
      </w:r>
    </w:p>
    <w:p w14:paraId="2E68344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4615815" cy="3114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475" cy="317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AFB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drawing>
          <wp:inline distT="0" distB="0" distL="0" distR="0">
            <wp:extent cx="6120130" cy="34455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2F1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1. Подготовка документов</w:t>
      </w:r>
    </w:p>
    <w:p w14:paraId="6DD0EF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обследования ребенка родителям (законным представителям) необходимо подготовить документы, согласно Перечню документов, необходимых для обращения в ПМПК.</w:t>
      </w:r>
    </w:p>
    <w:p w14:paraId="038095A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 для ПМПК</w:t>
      </w:r>
    </w:p>
    <w:p w14:paraId="76FA22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копия документа, удостоверяющего личность родителя (законного представителя) обследуемого, обследуемого в возрасте старше 14 лет (с предъявлением оригинала);</w:t>
      </w:r>
    </w:p>
    <w:p w14:paraId="750F30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копия документа, подтверждающего установление опеки или попечительства (при необходимости) (с предъявлением оригинала);</w:t>
      </w:r>
    </w:p>
    <w:p w14:paraId="62CD8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копия свидетельства о рождении обследуемого (для лиц, не достигших 14 лет) или документа, подтверждающего родство заявителя (с предъявлением оригинала);</w:t>
      </w:r>
    </w:p>
    <w:p w14:paraId="02254C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направление образовательной организации, организации, осуществляющей социальное обслуживание, медицинской организации, других организаций (при наличии);</w:t>
      </w:r>
    </w:p>
    <w:p w14:paraId="6C0190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постановление комиссии по делам несовершеннолетних и защите их прав о направлении на комиссию (при наличии);</w:t>
      </w:r>
    </w:p>
    <w:p w14:paraId="131CC0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(Приложение 3 к Порядку);</w:t>
      </w:r>
    </w:p>
    <w:p w14:paraId="5120F9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заключение (заключения) ПMПK о результатах ранее проведенного обследования ребенка (при наличии);</w:t>
      </w:r>
    </w:p>
    <w:p w14:paraId="790D4A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копии справки, подтверждающей факт установления инвалидности, и ИПРА (при наличии);</w:t>
      </w:r>
    </w:p>
    <w:p w14:paraId="0DF96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медицинское заключение, содержащее информацию о состоянии здоровья обследуемого, результатах медицинских обследований и (или) лечения (Приложение 4 к Порядку); можно скачать </w:t>
      </w:r>
      <w:r>
        <w:fldChar w:fldCharType="begin"/>
      </w:r>
      <w:r>
        <w:instrText xml:space="preserve"> HYPERLINK "https://cloud.mail.ru/public/6Wgr/PYk87exNH"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https://cloud.mail.ru/public/6Wgr/PYk87exNH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</w:p>
    <w:p w14:paraId="344439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5238750</wp:posOffset>
            </wp:positionH>
            <wp:positionV relativeFrom="page">
              <wp:posOffset>157480</wp:posOffset>
            </wp:positionV>
            <wp:extent cx="1009650" cy="1009650"/>
            <wp:effectExtent l="0" t="0" r="0" b="0"/>
            <wp:wrapTight wrapText="bothSides">
              <wp:wrapPolygon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копии диагностических и (или) контрольных работ обследуемого обучающегося, </w:t>
      </w:r>
      <w:r>
        <w:rPr>
          <w:rFonts w:ascii="Times New Roman" w:hAnsi="Times New Roman" w:cs="Times New Roman"/>
          <w:b/>
          <w:sz w:val="28"/>
          <w:szCs w:val="28"/>
        </w:rPr>
        <w:t>заверенные руководителем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оригиналы рабочих тетрадей по русскому языку и математике (при наличии), а для детей дошкольного возраста – результаты самостоятельной продуктивной деятельности.</w:t>
      </w:r>
    </w:p>
    <w:p w14:paraId="77767D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68CE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2. Запись на обследование в ПМПК</w:t>
      </w:r>
    </w:p>
    <w:p w14:paraId="27D803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записаться лично </w:t>
      </w:r>
      <w:r>
        <w:rPr>
          <w:rFonts w:ascii="Times New Roman" w:hAnsi="Times New Roman" w:cs="Times New Roman"/>
          <w:b/>
          <w:bCs/>
          <w:sz w:val="28"/>
          <w:szCs w:val="28"/>
        </w:rPr>
        <w:t>(г.Донецк, ул.Прожекторная 24 А)</w:t>
      </w:r>
      <w:r>
        <w:rPr>
          <w:rFonts w:ascii="Times New Roman" w:hAnsi="Times New Roman" w:cs="Times New Roman"/>
          <w:sz w:val="28"/>
          <w:szCs w:val="28"/>
        </w:rPr>
        <w:t xml:space="preserve"> или по телефону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+7949 440 88 93,</w:t>
      </w:r>
      <w:r>
        <w:rPr>
          <w:rFonts w:ascii="Times New Roman" w:hAnsi="Times New Roman" w:cs="Times New Roman"/>
          <w:sz w:val="28"/>
          <w:szCs w:val="28"/>
        </w:rPr>
        <w:t xml:space="preserve"> где вас проинформируют о дате, времени, месте и порядке проведения обследования.</w:t>
      </w:r>
    </w:p>
    <w:p w14:paraId="0103A0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04E9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3. Подача документов и диагностическое обследование</w:t>
      </w:r>
    </w:p>
    <w:p w14:paraId="488D75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назначенный день необходимо вместе с ребёнком явиться в ПМПК, предъявить указанный пакет документов.</w:t>
      </w:r>
    </w:p>
    <w:p w14:paraId="75E7F0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комплексного психолого-медико-педагогического обследования детей в ТПМПК</w:t>
      </w:r>
    </w:p>
    <w:p w14:paraId="5E03F3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в ТПМПК проводится в присутствии родителей (законных представителей) индивидуально каждым специалистом или несколькими специалистами одновременно, что определяется психолого-медико-педагогическими показаниями, исключающими возникновение психотравмирующих и неэтичных ситуаций. При установлении потребности обучающегося в создании специальных условий для получения образования ТПМПК руководствуется результатами комплексной диагностики и входящими медицинскими документами.</w:t>
      </w:r>
    </w:p>
    <w:p w14:paraId="588EB7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каждого специалиста ТПМПК подчинена решению общей диагностической задаче.</w:t>
      </w:r>
    </w:p>
    <w:p w14:paraId="761AA6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значение имеет представление психолого-педагогического консилиума Организации, которое отражает общую ситуацию развития ребенка глазами педагога, характер оказываемой помощи и ее эффективность, а самое главное - чему удалось научить ребенка (в соответствии с программными требованиями) и за какой срок.</w:t>
      </w:r>
    </w:p>
    <w:p w14:paraId="7762A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Целесообразно предоставление в ТПМПК рабочих тетрадей ребенка по русскому (родному) языку и математике: для выполнения домашней работы, для контрольных работ (диктантов, сочинений, изложений). Проверенные тетради/работы предоставляются с целью проведения специалистами детализированного изучения результатов учебной деятельности ребенка.</w:t>
      </w:r>
    </w:p>
    <w:p w14:paraId="1E65EF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учителя-дефектолога на заседании комиссии - определить зону актуального и зону ближайшего развития ребенка. Анализируя тетради ребенка, учитель-дефектолог может сделать выводы о степени усвоения программы, выделить конкретные проблемы и уточнить их в процессе диагностики. Также предоставление тетрадей позволяет учителю-дефектологу и учителю-логопеду проанализировать различные виды письменной деятельности.</w:t>
      </w:r>
    </w:p>
    <w:p w14:paraId="478FCC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оценивает уровень речевого развития, качество устной и письменной речи.</w:t>
      </w:r>
    </w:p>
    <w:p w14:paraId="72965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 оценивает поведение, характер деятельности, особенности коммуникации, зрительный и слуховой гнозис, развитие высших психических функций.</w:t>
      </w:r>
    </w:p>
    <w:p w14:paraId="0C6BDD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5229225</wp:posOffset>
            </wp:positionH>
            <wp:positionV relativeFrom="page">
              <wp:posOffset>128905</wp:posOffset>
            </wp:positionV>
            <wp:extent cx="1009650" cy="1009650"/>
            <wp:effectExtent l="0" t="0" r="0" b="0"/>
            <wp:wrapTight wrapText="bothSides">
              <wp:wrapPolygon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 случае наличия нарушения слуха важно наличие аудиограммы, нарушение зрения - заключение врача-офтальмолога о состоянии зрения с коррекцией.</w:t>
      </w:r>
    </w:p>
    <w:p w14:paraId="211CBD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представленных документов, объективные выводы по результатам диагностических обследований в дальнейшем будут являться основанием для принятия решения и оформления заключения ТПМПК.</w:t>
      </w:r>
    </w:p>
    <w:p w14:paraId="669647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некоторых случаях комиссия может принять решении о медицинском дообследовании.</w:t>
      </w:r>
    </w:p>
    <w:p w14:paraId="2E4E4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прохождения обследования в территориальной ПМПК и не согласия с её решением, родители (законные представители) имеют право обратиться в ЦПМПК. Так же и территориальная ПМПК в сложных диагностических случаях может рекомендовать консультирование в ЦПМПК.</w:t>
      </w:r>
    </w:p>
    <w:p w14:paraId="207544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F5B9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4. Определение образовательного маршрута и подготовка Заключения</w:t>
      </w:r>
    </w:p>
    <w:p w14:paraId="49DF56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ПМПК устанавливает статус «обучающийся с ОВЗ» и потребность в создании специальных условий для получения образования.</w:t>
      </w:r>
    </w:p>
    <w:p w14:paraId="1809B7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клинически значимых особенностей в физическом и (или) психическом развитии ребенку рекомендуется образовательная программа дошкольного образования (далее - ОП ДО), начального общего образования (далее - НОО), основного общего образования (далее - ООО) или среднего общего образования (далее - СОО). При выводе о наличии особенностей развития, квалифицируемых как ОВЗ, ребенку рекомендуется обучение по образовательной программе, учитывающей его трудности, «приспособленной» к наличию особых образовательных потребностей - адаптированной. Такая образовательная программа далее будет обозначаться как АООП с уточнением варианта (для детей школьного возраста), основой определения которой является клиническая сущность имеющихся у ребенка нарушений.</w:t>
      </w:r>
    </w:p>
    <w:p w14:paraId="47CE78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АООП конкретизируют условия получения образования и определяются в соответствии с ГОС НОО ОВЗ и ГОС О УО (ИН).</w:t>
      </w:r>
    </w:p>
    <w:p w14:paraId="56F2F2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ОП/вариант АООП рекомендуется коллегиально на основании всех диагностических материалов, представленных специалистами, анализа анамнестических сведений, представления психолого-педагогического консилиума организации, осуществляющей образовательную деятельность (специалиста, осуществляющего психолого-педагогическое сопровождение обучающегося), общей оценки социальной ситуации развития.</w:t>
      </w:r>
    </w:p>
    <w:p w14:paraId="414D93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обследования коллегиально составляется Заключение комиссии, бланк которого утвержден Приказом Министерства образования и науки Донецкой Народной Республики от 11.03.2025 № 120.</w:t>
      </w:r>
    </w:p>
    <w:p w14:paraId="582568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 создании специальных условий для получения образования представляет собой обоснованные выводы о наличии (отсутствии) у ребенка ограниченных возможностей здоровья, особенностей в физическом и (или) психическом развитии, отклонений в поведении и необходимость (отсутствие необходимости) в создании специальных условий для получения образования.</w:t>
      </w:r>
    </w:p>
    <w:p w14:paraId="2E3038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(законный представитель) после ознакомления с Заключением отмечает в части, предназначенной для родителей (законных представителей), отсутствие претензий к процедуре обследования и получение заключения.</w:t>
      </w:r>
    </w:p>
    <w:p w14:paraId="0AEFEF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5210175</wp:posOffset>
            </wp:positionH>
            <wp:positionV relativeFrom="page">
              <wp:posOffset>214630</wp:posOffset>
            </wp:positionV>
            <wp:extent cx="1009650" cy="1009650"/>
            <wp:effectExtent l="0" t="0" r="0" b="0"/>
            <wp:wrapTight wrapText="bothSides">
              <wp:wrapPolygon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Составляется Заключение ТПМПК в двух экземплярах. Один экземпляр Заключения ТПМПК (оригинал) выдается родителям (законным представителям) непосредственно в день оформления Заключения ТПМПК под подпись, а второй экземпляр (оригинал) хранится в личном деле обследуемого.</w:t>
      </w:r>
    </w:p>
    <w:p w14:paraId="31B0C6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комиссии носит для родителей (законных представителей) </w:t>
      </w:r>
      <w:r>
        <w:rPr>
          <w:rFonts w:ascii="Times New Roman" w:hAnsi="Times New Roman" w:cs="Times New Roman"/>
          <w:b/>
          <w:sz w:val="28"/>
          <w:szCs w:val="28"/>
        </w:rPr>
        <w:t>рекомендательный характер</w:t>
      </w:r>
      <w:r>
        <w:rPr>
          <w:rFonts w:ascii="Times New Roman" w:hAnsi="Times New Roman" w:cs="Times New Roman"/>
          <w:sz w:val="28"/>
          <w:szCs w:val="28"/>
        </w:rPr>
        <w:t xml:space="preserve">. Специалисты ТПМПК не вправе рекомендовать определенную образовательную организацию, однако должны проинформировать родителей (законных представителей) о возможностях удовлетворения особых образовательных потребностей ребенка в Организациях Донецкой Народной Республики всех типов и форм собственности. Перечень образовательных организаций, оказывающих коррекционную помощь детям с ОВЗ </w:t>
      </w:r>
      <w:r>
        <w:fldChar w:fldCharType="begin"/>
      </w:r>
      <w:r>
        <w:instrText xml:space="preserve"> HYPERLINK "http://mondnr.ru/oo-spetsialnoe-obrazovanie"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http://mondnr.ru/oo-spetsialnoe-obrazovanie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4D9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могут предоставить Заключение ТПМПК в Организацию в течение календарного года с момента его выдачи. </w:t>
      </w:r>
    </w:p>
    <w:p w14:paraId="66149F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 определяет основную стратегию помощи ребенку. ППк ОО разрабатывает план работы с обучающимся в соответствии с рекомендациями ПМПК, конкретизирует содержательную часть психолого-педагогической помощи, разрабатывает конкретные коррекционно-развивающие программы, устанавливает условный диагностический период, в течении которого специалисты ППк ОО наблюдают за динамикой развития ребенка (положительной, отрицательной, волнообразной) и инициирует при необходимости повторное обращение в ПМПК.</w:t>
      </w:r>
    </w:p>
    <w:p w14:paraId="23C73D8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3818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детей и родителей (законных представителей)</w:t>
      </w:r>
    </w:p>
    <w:p w14:paraId="4319F4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43 Конституции Российской Федерации:</w:t>
      </w:r>
    </w:p>
    <w:p w14:paraId="55CCB8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Каждый имеет право на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C4CD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14:paraId="7E165D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14:paraId="3B1D12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14:paraId="656AF3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14:paraId="530759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b/>
          <w:sz w:val="28"/>
          <w:szCs w:val="28"/>
        </w:rPr>
        <w:t>части 5 статьи 5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Федерации»:</w:t>
      </w:r>
    </w:p>
    <w:p w14:paraId="5C13B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</w:t>
      </w:r>
    </w:p>
    <w:p w14:paraId="7C4DAD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</w:t>
      </w: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5200650</wp:posOffset>
            </wp:positionH>
            <wp:positionV relativeFrom="page">
              <wp:posOffset>147955</wp:posOffset>
            </wp:positionV>
            <wp:extent cx="1009650" cy="1009650"/>
            <wp:effectExtent l="0" t="0" r="0" b="0"/>
            <wp:wrapTight wrapText="bothSides">
              <wp:wrapPolygon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здоровья».</w:t>
      </w:r>
    </w:p>
    <w:p w14:paraId="4B044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16 статьи 2 Федерального Закона «Об образовании в Российской Федерации» определяется понятие «обучающийся с ограниченными возможностями здоровья»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14:paraId="7DE0DF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6 статьи 11 Федерального Закона «Об образовании в Российской Федерации» «в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требования.».</w:t>
      </w:r>
    </w:p>
    <w:p w14:paraId="36F096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b/>
          <w:sz w:val="28"/>
          <w:szCs w:val="28"/>
        </w:rPr>
        <w:t>статье 79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Федерации»:</w:t>
      </w:r>
    </w:p>
    <w:p w14:paraId="46C6E9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</w:p>
    <w:p w14:paraId="57EA46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 </w:t>
      </w:r>
    </w:p>
    <w:p w14:paraId="5193B0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здоровья.»</w:t>
      </w:r>
    </w:p>
    <w:p w14:paraId="29DE4B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 условия должны в максимальной степени способствовать получению качественного образования определенного уровня и определенной направленности, а также социальному развитию обучающихся с ОВЗ.</w:t>
      </w:r>
    </w:p>
    <w:p w14:paraId="5004CC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b/>
          <w:sz w:val="28"/>
          <w:szCs w:val="28"/>
        </w:rPr>
        <w:t>статье 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Федерации»:</w:t>
      </w:r>
    </w:p>
    <w:p w14:paraId="632106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14:paraId="050F63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Органы государственной власти и органы местного самоуправления, образовательные организации, российское движение детей и молодежи оказывают помощь </w:t>
      </w: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5257800</wp:posOffset>
            </wp:positionH>
            <wp:positionV relativeFrom="page">
              <wp:posOffset>138430</wp:posOffset>
            </wp:positionV>
            <wp:extent cx="1009650" cy="1009650"/>
            <wp:effectExtent l="0" t="0" r="0" b="0"/>
            <wp:wrapTight wrapText="bothSides">
              <wp:wrapPolygon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 </w:t>
      </w:r>
    </w:p>
    <w:p w14:paraId="3A6935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Родители (законные представители) несовершеннолетних обучающихся имеют право: </w:t>
      </w:r>
    </w:p>
    <w:p w14:paraId="71258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 </w:t>
      </w:r>
    </w:p>
    <w:p w14:paraId="46E7D6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 </w:t>
      </w:r>
    </w:p>
    <w:p w14:paraId="4727D1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14:paraId="5DA9B9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 </w:t>
      </w:r>
    </w:p>
    <w:p w14:paraId="532C74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защищать права и законные интересы обучающихся; </w:t>
      </w:r>
    </w:p>
    <w:p w14:paraId="6B7476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</w:p>
    <w:p w14:paraId="6E01F9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принимать участие в управлении организацией, осуществляющей образовательную деятельность, в форме, определяемой уставом этой организации; </w:t>
      </w:r>
    </w:p>
    <w:p w14:paraId="5CBFE5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b/>
          <w:sz w:val="28"/>
          <w:szCs w:val="28"/>
        </w:rPr>
        <w:t>присутствовать при обследовании детей</w:t>
      </w:r>
      <w:r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14:paraId="48C3BB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Родители (законные представители) несовершеннолетних обучающихся обязаны: </w:t>
      </w:r>
    </w:p>
    <w:p w14:paraId="17F48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sz w:val="28"/>
          <w:szCs w:val="28"/>
        </w:rPr>
        <w:t>обеспечить получение детьми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B0046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соблюдать правила внутреннего распорядка организации, осуществляющей образовательную деятельность, правила проживания,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14:paraId="748DF0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деятельность.».</w:t>
      </w:r>
    </w:p>
    <w:p w14:paraId="5BCA23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E0C9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39F5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309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C30C53">
      <w:pPr>
        <w:spacing w:after="0" w:line="360" w:lineRule="auto"/>
        <w:contextualSpacing/>
        <w:jc w:val="both"/>
        <w:rPr>
          <w:rFonts w:hint="default" w:ascii="Arial Rounded MT Bold" w:hAnsi="Arial Rounded MT Bold" w:cs="Arial Rounded MT Bold"/>
          <w:b/>
          <w:bCs/>
          <w:sz w:val="32"/>
          <w:szCs w:val="32"/>
          <w:lang w:val="ru-RU"/>
        </w:rPr>
      </w:pPr>
      <w:r>
        <w:rPr>
          <w:rFonts w:hint="default" w:ascii="Arial Rounded MT Bold" w:hAnsi="Arial Rounded MT Bold" w:cs="Arial Rounded MT Bold"/>
          <w:b/>
          <w:bCs/>
          <w:sz w:val="32"/>
          <w:szCs w:val="32"/>
          <w:lang w:val="ru-RU"/>
        </w:rPr>
        <w:t xml:space="preserve">АДРЕС ЦППМСП (ТПМПК) Пролетарского района </w:t>
      </w:r>
      <w:r>
        <w:rPr>
          <w:rFonts w:hint="default" w:ascii="Arial Rounded MT Bold" w:hAnsi="Arial Rounded MT Bold" w:cs="Arial Rounded MT Bold"/>
          <w:b/>
          <w:bCs/>
          <w:sz w:val="32"/>
          <w:szCs w:val="32"/>
          <w:lang w:val="ru-RU"/>
        </w:rPr>
        <w:t>г.о. Донецк</w:t>
      </w:r>
    </w:p>
    <w:p w14:paraId="2DCE08B0">
      <w:pPr>
        <w:spacing w:after="0" w:line="360" w:lineRule="auto"/>
        <w:contextualSpacing/>
        <w:jc w:val="both"/>
        <w:rPr>
          <w:rFonts w:hint="default" w:ascii="Arial Rounded MT Bold" w:hAnsi="Arial Rounded MT Bold" w:cs="Arial Rounded MT Bold"/>
          <w:b w:val="0"/>
          <w:bCs w:val="0"/>
          <w:sz w:val="32"/>
          <w:szCs w:val="32"/>
          <w:lang w:val="ru-RU"/>
        </w:rPr>
      </w:pPr>
      <w:r>
        <w:rPr>
          <w:rFonts w:hint="default" w:ascii="Arial Rounded MT Bold" w:hAnsi="Arial Rounded MT Bold" w:cs="Arial Rounded MT Bold"/>
          <w:b/>
          <w:bCs/>
          <w:sz w:val="32"/>
          <w:szCs w:val="32"/>
        </w:rPr>
        <w:t xml:space="preserve">г.Донецк, ул.Прожекторная 24 А </w:t>
      </w:r>
      <w:r>
        <w:rPr>
          <w:rFonts w:hint="default" w:ascii="Arial Rounded MT Bold" w:hAnsi="Arial Rounded MT Bold" w:cs="Arial Rounded MT Bold"/>
          <w:b w:val="0"/>
          <w:bCs w:val="0"/>
          <w:sz w:val="32"/>
          <w:szCs w:val="32"/>
          <w:lang w:val="ru-RU"/>
        </w:rPr>
        <w:t>(ГКДОУ Детский сад №333)</w:t>
      </w:r>
    </w:p>
    <w:p w14:paraId="4B7CEBA2">
      <w:pPr>
        <w:spacing w:after="0" w:line="360" w:lineRule="auto"/>
        <w:contextualSpacing/>
        <w:jc w:val="both"/>
        <w:rPr>
          <w:rFonts w:hint="default" w:ascii="Arial Black" w:hAnsi="Arial Black" w:cs="Arial Black"/>
          <w:b/>
          <w:bCs/>
          <w:sz w:val="32"/>
          <w:szCs w:val="32"/>
          <w:lang w:val="ru-RU"/>
        </w:rPr>
      </w:pPr>
      <w:r>
        <w:rPr>
          <w:rFonts w:hint="default" w:ascii="Arial Black" w:hAnsi="Arial Black" w:cs="Arial Black"/>
          <w:b/>
          <w:bCs/>
          <w:sz w:val="32"/>
          <w:szCs w:val="32"/>
        </w:rPr>
        <w:t>Телефон</w:t>
      </w:r>
      <w:r>
        <w:rPr>
          <w:rFonts w:hint="default" w:ascii="Arial Black" w:hAnsi="Arial Black" w:cs="Arial Black"/>
          <w:b/>
          <w:bCs/>
          <w:sz w:val="32"/>
          <w:szCs w:val="32"/>
          <w:lang w:val="ru-RU"/>
        </w:rPr>
        <w:t xml:space="preserve">: </w:t>
      </w:r>
      <w:r>
        <w:rPr>
          <w:rFonts w:hint="default" w:ascii="Arial Black" w:hAnsi="Arial Black" w:cs="Arial Black"/>
          <w:b/>
          <w:bCs/>
          <w:sz w:val="32"/>
          <w:szCs w:val="32"/>
        </w:rPr>
        <w:t xml:space="preserve"> +</w:t>
      </w:r>
      <w:bookmarkStart w:id="0" w:name="_GoBack"/>
      <w:bookmarkEnd w:id="0"/>
      <w:r>
        <w:rPr>
          <w:rFonts w:hint="default" w:ascii="Arial Black" w:hAnsi="Arial Black" w:cs="Arial Black"/>
          <w:b/>
          <w:bCs/>
          <w:sz w:val="32"/>
          <w:szCs w:val="32"/>
        </w:rPr>
        <w:t>7</w:t>
      </w:r>
      <w:r>
        <w:rPr>
          <w:rFonts w:hint="default" w:ascii="Arial Black" w:hAnsi="Arial Black" w:cs="Arial Black"/>
          <w:b/>
          <w:bCs/>
          <w:sz w:val="32"/>
          <w:szCs w:val="32"/>
          <w:lang w:val="ru-RU"/>
        </w:rPr>
        <w:t xml:space="preserve"> </w:t>
      </w:r>
      <w:r>
        <w:rPr>
          <w:rFonts w:hint="default" w:ascii="Arial Black" w:hAnsi="Arial Black" w:cs="Arial Black"/>
          <w:b/>
          <w:bCs/>
          <w:sz w:val="32"/>
          <w:szCs w:val="32"/>
        </w:rPr>
        <w:t>949 440 88 93</w:t>
      </w:r>
      <w:r>
        <w:rPr>
          <w:rFonts w:hint="default" w:ascii="Arial Black" w:hAnsi="Arial Black" w:cs="Arial Black"/>
          <w:b/>
          <w:bCs/>
          <w:sz w:val="32"/>
          <w:szCs w:val="32"/>
          <w:lang w:val="ru-RU"/>
        </w:rPr>
        <w:t>.</w:t>
      </w:r>
    </w:p>
    <w:sectPr>
      <w:pgSz w:w="11906" w:h="16838"/>
      <w:pgMar w:top="1134" w:right="567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Bodoni MT Poster Compressed">
    <w:panose1 w:val="02070706080601050204"/>
    <w:charset w:val="00"/>
    <w:family w:val="auto"/>
    <w:pitch w:val="default"/>
    <w:sig w:usb0="00000003" w:usb1="00000000" w:usb2="00000000" w:usb3="00000000" w:csb0="20000011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0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16"/>
    <w:rsid w:val="00026961"/>
    <w:rsid w:val="000B6EE4"/>
    <w:rsid w:val="000E21EF"/>
    <w:rsid w:val="000F2CE4"/>
    <w:rsid w:val="001B3FB2"/>
    <w:rsid w:val="001D5252"/>
    <w:rsid w:val="001D78D5"/>
    <w:rsid w:val="00213189"/>
    <w:rsid w:val="00285765"/>
    <w:rsid w:val="00290FF8"/>
    <w:rsid w:val="002C36AC"/>
    <w:rsid w:val="002C65DD"/>
    <w:rsid w:val="002E4C3E"/>
    <w:rsid w:val="002E56CB"/>
    <w:rsid w:val="00363FAB"/>
    <w:rsid w:val="003826D6"/>
    <w:rsid w:val="00394BC7"/>
    <w:rsid w:val="003B0773"/>
    <w:rsid w:val="00403BEE"/>
    <w:rsid w:val="00410C64"/>
    <w:rsid w:val="004133EB"/>
    <w:rsid w:val="004243B4"/>
    <w:rsid w:val="0042723C"/>
    <w:rsid w:val="004333A3"/>
    <w:rsid w:val="00434B9B"/>
    <w:rsid w:val="00496B26"/>
    <w:rsid w:val="00496E00"/>
    <w:rsid w:val="004F3A0A"/>
    <w:rsid w:val="00507597"/>
    <w:rsid w:val="00555BB7"/>
    <w:rsid w:val="00593CD9"/>
    <w:rsid w:val="005D6C2F"/>
    <w:rsid w:val="005E0F54"/>
    <w:rsid w:val="0063075E"/>
    <w:rsid w:val="00655079"/>
    <w:rsid w:val="00661ACB"/>
    <w:rsid w:val="0068718B"/>
    <w:rsid w:val="006A6715"/>
    <w:rsid w:val="006C68B8"/>
    <w:rsid w:val="00711C1A"/>
    <w:rsid w:val="00744D52"/>
    <w:rsid w:val="0075107C"/>
    <w:rsid w:val="007765B5"/>
    <w:rsid w:val="007B6525"/>
    <w:rsid w:val="007C282A"/>
    <w:rsid w:val="007C36AA"/>
    <w:rsid w:val="007E51A0"/>
    <w:rsid w:val="007E76D3"/>
    <w:rsid w:val="00821142"/>
    <w:rsid w:val="00855EDF"/>
    <w:rsid w:val="00892FFB"/>
    <w:rsid w:val="008D28F0"/>
    <w:rsid w:val="00904363"/>
    <w:rsid w:val="0090539D"/>
    <w:rsid w:val="00944862"/>
    <w:rsid w:val="0095522D"/>
    <w:rsid w:val="00970D05"/>
    <w:rsid w:val="00981EB7"/>
    <w:rsid w:val="009919F4"/>
    <w:rsid w:val="009C6D89"/>
    <w:rsid w:val="009E11C2"/>
    <w:rsid w:val="009F3072"/>
    <w:rsid w:val="00A053EC"/>
    <w:rsid w:val="00A0695E"/>
    <w:rsid w:val="00A27E30"/>
    <w:rsid w:val="00A63492"/>
    <w:rsid w:val="00AA5C70"/>
    <w:rsid w:val="00B04436"/>
    <w:rsid w:val="00B05AC2"/>
    <w:rsid w:val="00B2509F"/>
    <w:rsid w:val="00B265BF"/>
    <w:rsid w:val="00B56833"/>
    <w:rsid w:val="00B6294E"/>
    <w:rsid w:val="00B65CE9"/>
    <w:rsid w:val="00B66EDE"/>
    <w:rsid w:val="00BC1205"/>
    <w:rsid w:val="00CB5E00"/>
    <w:rsid w:val="00CC11FB"/>
    <w:rsid w:val="00D019E5"/>
    <w:rsid w:val="00D04F0E"/>
    <w:rsid w:val="00D05186"/>
    <w:rsid w:val="00D16C69"/>
    <w:rsid w:val="00D176C4"/>
    <w:rsid w:val="00D50E33"/>
    <w:rsid w:val="00DC5A08"/>
    <w:rsid w:val="00DE7B5B"/>
    <w:rsid w:val="00E02C3F"/>
    <w:rsid w:val="00E17463"/>
    <w:rsid w:val="00E3296F"/>
    <w:rsid w:val="00E609C9"/>
    <w:rsid w:val="00EB46DE"/>
    <w:rsid w:val="00EE70E9"/>
    <w:rsid w:val="00F06316"/>
    <w:rsid w:val="00F33094"/>
    <w:rsid w:val="00F42D2C"/>
    <w:rsid w:val="00F81A66"/>
    <w:rsid w:val="00FC2E26"/>
    <w:rsid w:val="00FC46F8"/>
    <w:rsid w:val="00FE466F"/>
    <w:rsid w:val="3CD334F8"/>
    <w:rsid w:val="7FF5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A99E1-8DB5-434B-AF2B-767EB31729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9</Pages>
  <Words>3094</Words>
  <Characters>17638</Characters>
  <Lines>146</Lines>
  <Paragraphs>41</Paragraphs>
  <TotalTime>13</TotalTime>
  <ScaleCrop>false</ScaleCrop>
  <LinksUpToDate>false</LinksUpToDate>
  <CharactersWithSpaces>20691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2025-03-14T11:29:00Z</dcterms:created>
  <dc:creator>Admin</dc:creator>
  <cp:lastModifiedBy>Centr</cp:lastModifiedBy>
  <dcterms:modified xsi:type="dcterms:W3CDTF">2026-01-21T05:45:16Z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909FC6C4045F4FECA072137254C38BEE_12</vt:lpwstr>
  </property>
</Properties>
</file>